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1" w:rsidRDefault="003866D4" w:rsidP="00C613E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2B1889">
        <w:rPr>
          <w:rFonts w:ascii="標楷體" w:eastAsia="標楷體" w:hAnsi="標楷體" w:hint="eastAsia"/>
          <w:sz w:val="32"/>
          <w:szCs w:val="32"/>
        </w:rPr>
        <w:t>法鼓文理學院身心障礙考生</w:t>
      </w:r>
      <w:r w:rsidR="00AE0067">
        <w:rPr>
          <w:rFonts w:ascii="標楷體" w:eastAsia="標楷體" w:hAnsi="標楷體" w:hint="eastAsia"/>
          <w:sz w:val="32"/>
          <w:szCs w:val="32"/>
        </w:rPr>
        <w:t>課程考試</w:t>
      </w:r>
      <w:r w:rsidRPr="002B1889">
        <w:rPr>
          <w:rFonts w:ascii="標楷體" w:eastAsia="標楷體" w:hAnsi="標楷體" w:hint="eastAsia"/>
          <w:sz w:val="32"/>
          <w:szCs w:val="32"/>
        </w:rPr>
        <w:t>需求申請表</w:t>
      </w:r>
    </w:p>
    <w:p w:rsidR="006C1F01" w:rsidRPr="003A2AA3" w:rsidRDefault="003A2AA3" w:rsidP="003A2AA3">
      <w:pPr>
        <w:spacing w:line="384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中華民國107年11月</w:t>
      </w:r>
      <w:r w:rsidR="00353845">
        <w:rPr>
          <w:rFonts w:ascii="標楷體" w:eastAsia="標楷體" w:hAnsi="標楷體" w:hint="eastAsia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>5日</w:t>
      </w:r>
      <w:r w:rsidRPr="003A2AA3">
        <w:rPr>
          <w:rFonts w:ascii="標楷體" w:eastAsia="標楷體" w:hAnsi="標楷體" w:hint="eastAsia"/>
          <w:sz w:val="20"/>
          <w:szCs w:val="20"/>
        </w:rPr>
        <w:t>107學年度第7次主管會議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445"/>
        <w:gridCol w:w="1418"/>
        <w:gridCol w:w="2126"/>
        <w:gridCol w:w="58"/>
        <w:gridCol w:w="1360"/>
        <w:gridCol w:w="1837"/>
      </w:tblGrid>
      <w:tr w:rsidR="001B4E6C" w:rsidRPr="00F6472C" w:rsidTr="00431919">
        <w:trPr>
          <w:trHeight w:val="65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4E6C" w:rsidRPr="009242EC" w:rsidRDefault="001B4E6C" w:rsidP="005F7B6F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C" w:rsidRPr="009242EC" w:rsidRDefault="001B4E6C" w:rsidP="005F7B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4E6C" w:rsidRPr="009242EC" w:rsidRDefault="001B4E6C" w:rsidP="005F7B6F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C" w:rsidRPr="009242EC" w:rsidRDefault="001B4E6C" w:rsidP="001B4E6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  年  月 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4E6C" w:rsidRPr="009242EC" w:rsidRDefault="001B4E6C" w:rsidP="0001631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C" w:rsidRPr="009242EC" w:rsidRDefault="001B4E6C" w:rsidP="00FF4F4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4E6C" w:rsidRPr="00F6472C" w:rsidTr="00431919">
        <w:trPr>
          <w:trHeight w:val="65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4E6C" w:rsidRPr="009242EC" w:rsidRDefault="001B4E6C" w:rsidP="0022289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聯絡</w:t>
            </w: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C" w:rsidRPr="009242EC" w:rsidRDefault="001B4E6C" w:rsidP="008D1F6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4E6C" w:rsidRPr="009242EC" w:rsidRDefault="00470EA6" w:rsidP="005F7B6F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C" w:rsidRPr="009242EC" w:rsidRDefault="001B4E6C" w:rsidP="005F7B6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4E6C" w:rsidRPr="009242EC" w:rsidRDefault="00470EA6" w:rsidP="001B4E6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考試日期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6C" w:rsidRPr="009242EC" w:rsidRDefault="001B4E6C" w:rsidP="005F7B6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0EA6" w:rsidRPr="009242EC" w:rsidTr="00431919">
        <w:trPr>
          <w:trHeight w:val="65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70EA6" w:rsidRPr="009242EC" w:rsidRDefault="00470EA6" w:rsidP="004B17FC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6" w:rsidRPr="009242EC" w:rsidRDefault="00470EA6" w:rsidP="004B17F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866D4" w:rsidRPr="00F6472C" w:rsidTr="00431919">
        <w:trPr>
          <w:trHeight w:val="89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66D4" w:rsidRPr="009242EC" w:rsidRDefault="003866D4" w:rsidP="005F7B6F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身心障礙類 別及狀況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4" w:rsidRPr="009242EC" w:rsidRDefault="003866D4" w:rsidP="0064762D">
            <w:pPr>
              <w:tabs>
                <w:tab w:val="left" w:pos="1100"/>
              </w:tabs>
              <w:autoSpaceDE w:val="0"/>
              <w:autoSpaceDN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  <w:szCs w:val="24"/>
              </w:rPr>
              <w:t>□視覺障礙 □聽覺障礙 □肢體障礙</w:t>
            </w:r>
            <w:r w:rsidRPr="009242EC">
              <w:rPr>
                <w:rFonts w:ascii="標楷體" w:eastAsia="標楷體" w:hAnsi="標楷體"/>
                <w:color w:val="000000"/>
                <w:sz w:val="20"/>
              </w:rPr>
              <w:t>（□坐輪椅 □可自行上下樓 □無法自行上下樓）</w:t>
            </w:r>
            <w:r w:rsidRPr="009242EC">
              <w:rPr>
                <w:rFonts w:ascii="標楷體" w:eastAsia="標楷體" w:hAnsi="標楷體"/>
                <w:color w:val="000000"/>
                <w:szCs w:val="24"/>
              </w:rPr>
              <w:t>□腦性麻痺 □身體病弱 □情緒行為障礙 □學習障礙 □多重障礙 □自閉症 □其他</w:t>
            </w:r>
            <w:r w:rsidRPr="009242EC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</w:p>
        </w:tc>
      </w:tr>
      <w:tr w:rsidR="003866D4" w:rsidRPr="00F6472C" w:rsidTr="005F7B6F">
        <w:trPr>
          <w:trHeight w:val="2180"/>
          <w:jc w:val="center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4" w:rsidRPr="009242EC" w:rsidRDefault="003866D4" w:rsidP="003866D4">
            <w:pPr>
              <w:spacing w:beforeLines="20" w:before="72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身心障礙考生請依實際需求，由下列應考方式中，申請</w:t>
            </w:r>
            <w:proofErr w:type="gramStart"/>
            <w:r w:rsidRPr="009242EC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9242EC">
              <w:rPr>
                <w:rFonts w:ascii="標楷體" w:eastAsia="標楷體" w:hAnsi="標楷體"/>
                <w:color w:val="000000"/>
              </w:rPr>
              <w:t>或多種方式：</w:t>
            </w:r>
          </w:p>
          <w:p w:rsidR="003866D4" w:rsidRPr="009242EC" w:rsidRDefault="003866D4" w:rsidP="005F7B6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□提供放大為A3紙之試題。</w:t>
            </w:r>
          </w:p>
          <w:p w:rsidR="003866D4" w:rsidRPr="009242EC" w:rsidRDefault="003866D4" w:rsidP="005F7B6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□延長考試時間20分鐘，惟最多以延長20分鐘為限。</w:t>
            </w:r>
          </w:p>
          <w:p w:rsidR="003866D4" w:rsidRPr="009242EC" w:rsidRDefault="003866D4" w:rsidP="005F7B6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□協助考生閱讀或紀錄</w:t>
            </w:r>
            <w:proofErr w:type="gramStart"/>
            <w:r w:rsidRPr="009242EC">
              <w:rPr>
                <w:rFonts w:ascii="標楷體" w:eastAsia="標楷體" w:hAnsi="標楷體"/>
                <w:color w:val="000000"/>
              </w:rPr>
              <w:t>答案之輔具</w:t>
            </w:r>
            <w:proofErr w:type="gramEnd"/>
            <w:r w:rsidRPr="009242EC">
              <w:rPr>
                <w:rFonts w:ascii="標楷體" w:eastAsia="標楷體" w:hAnsi="標楷體"/>
                <w:color w:val="000000"/>
              </w:rPr>
              <w:t>，請說明：</w:t>
            </w:r>
            <w:r w:rsidRPr="009242E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</w:t>
            </w:r>
          </w:p>
          <w:p w:rsidR="003866D4" w:rsidRPr="009242EC" w:rsidRDefault="003866D4" w:rsidP="005F7B6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□其他功能性障礙所需之特別服務，請說明：</w:t>
            </w:r>
            <w:r w:rsidRPr="009242E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</w:t>
            </w:r>
          </w:p>
        </w:tc>
      </w:tr>
      <w:tr w:rsidR="003866D4" w:rsidRPr="00F6472C" w:rsidTr="00AC0DF9">
        <w:trPr>
          <w:trHeight w:val="2583"/>
          <w:jc w:val="center"/>
        </w:trPr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4" w:rsidRPr="009242EC" w:rsidRDefault="003866D4" w:rsidP="005F7B6F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242EC">
              <w:rPr>
                <w:rFonts w:ascii="標楷體" w:eastAsia="標楷體" w:hAnsi="標楷體"/>
                <w:color w:val="000000"/>
                <w:sz w:val="22"/>
              </w:rPr>
              <w:t>請於此處</w:t>
            </w:r>
            <w:proofErr w:type="gramStart"/>
            <w:r w:rsidRPr="009242EC">
              <w:rPr>
                <w:rFonts w:ascii="標楷體" w:eastAsia="標楷體" w:hAnsi="標楷體"/>
                <w:color w:val="000000"/>
                <w:sz w:val="22"/>
              </w:rPr>
              <w:t>浮</w:t>
            </w:r>
            <w:proofErr w:type="gramEnd"/>
            <w:r w:rsidRPr="009242EC">
              <w:rPr>
                <w:rFonts w:ascii="標楷體" w:eastAsia="標楷體" w:hAnsi="標楷體"/>
                <w:color w:val="000000"/>
                <w:sz w:val="22"/>
              </w:rPr>
              <w:t>貼身心障礙手冊或由醫療單位出具之功能性障礙認定證明文件 (正面影本)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D4" w:rsidRPr="009242EC" w:rsidRDefault="003866D4" w:rsidP="005F7B6F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242EC">
              <w:rPr>
                <w:rFonts w:ascii="標楷體" w:eastAsia="標楷體" w:hAnsi="標楷體"/>
                <w:color w:val="000000"/>
                <w:sz w:val="22"/>
              </w:rPr>
              <w:t>請於此處</w:t>
            </w:r>
            <w:proofErr w:type="gramStart"/>
            <w:r w:rsidRPr="009242EC">
              <w:rPr>
                <w:rFonts w:ascii="標楷體" w:eastAsia="標楷體" w:hAnsi="標楷體"/>
                <w:color w:val="000000"/>
                <w:sz w:val="22"/>
              </w:rPr>
              <w:t>浮</w:t>
            </w:r>
            <w:proofErr w:type="gramEnd"/>
            <w:r w:rsidRPr="009242EC">
              <w:rPr>
                <w:rFonts w:ascii="標楷體" w:eastAsia="標楷體" w:hAnsi="標楷體"/>
                <w:color w:val="000000"/>
                <w:sz w:val="22"/>
              </w:rPr>
              <w:t>貼身心障礙手冊或由醫療單位出具之功能性障礙認定證明文件 (反面影本)</w:t>
            </w:r>
          </w:p>
        </w:tc>
      </w:tr>
      <w:tr w:rsidR="003866D4" w:rsidRPr="00F6472C" w:rsidTr="00FF242C">
        <w:trPr>
          <w:trHeight w:val="350"/>
          <w:jc w:val="center"/>
        </w:trPr>
        <w:tc>
          <w:tcPr>
            <w:tcW w:w="982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66D4" w:rsidRPr="009242EC" w:rsidRDefault="003866D4" w:rsidP="005F7B6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 xml:space="preserve">備   </w:t>
            </w:r>
            <w:proofErr w:type="gramStart"/>
            <w:r w:rsidRPr="009242EC"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</w:p>
        </w:tc>
      </w:tr>
      <w:tr w:rsidR="003866D4" w:rsidRPr="00F6472C" w:rsidTr="005F7B6F">
        <w:trPr>
          <w:trHeight w:val="1964"/>
          <w:jc w:val="center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D4" w:rsidRPr="009242EC" w:rsidRDefault="003866D4" w:rsidP="0064762D">
            <w:pPr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1.</w:t>
            </w:r>
            <w:r w:rsidRPr="009242EC">
              <w:rPr>
                <w:rFonts w:ascii="標楷體" w:eastAsia="標楷體" w:hAnsi="標楷體"/>
                <w:color w:val="000000"/>
                <w:spacing w:val="-4"/>
                <w:szCs w:val="24"/>
              </w:rPr>
              <w:t>申請方式：請於</w:t>
            </w:r>
            <w:r w:rsidR="0017435C" w:rsidRPr="009242EC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課程考試</w:t>
            </w:r>
            <w:r w:rsidR="00901633" w:rsidRPr="008809D5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前</w:t>
            </w:r>
            <w:r w:rsidR="00151938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14天(含例假日)</w:t>
            </w:r>
            <w:r w:rsidRPr="009242EC">
              <w:rPr>
                <w:rFonts w:ascii="標楷體" w:eastAsia="標楷體" w:hAnsi="標楷體"/>
                <w:color w:val="000000"/>
                <w:spacing w:val="-4"/>
                <w:szCs w:val="24"/>
              </w:rPr>
              <w:t>，填寫本申請表件並簽章後，</w:t>
            </w:r>
            <w:r w:rsidR="007777C6" w:rsidRPr="009242EC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繳至諮商輔導暨校友聯絡中心</w:t>
            </w:r>
            <w:r w:rsidRPr="009242EC">
              <w:rPr>
                <w:rFonts w:ascii="標楷體" w:eastAsia="標楷體" w:hAnsi="標楷體"/>
                <w:color w:val="000000"/>
                <w:spacing w:val="-4"/>
                <w:szCs w:val="24"/>
              </w:rPr>
              <w:t>，</w:t>
            </w:r>
            <w:r w:rsidR="008809D5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或掃描後Email至</w:t>
            </w:r>
            <w:r w:rsidR="008809D5" w:rsidRPr="008809D5">
              <w:rPr>
                <w:rFonts w:ascii="標楷體" w:eastAsia="標楷體" w:hAnsi="標楷體" w:hint="eastAsia"/>
                <w:color w:val="000000"/>
                <w:spacing w:val="-4"/>
                <w:szCs w:val="24"/>
                <w:u w:val="single"/>
              </w:rPr>
              <w:t>winnie.hsu@dila.edu.tw</w:t>
            </w:r>
            <w:r w:rsidR="008809D5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，</w:t>
            </w:r>
            <w:r w:rsidRPr="009242EC">
              <w:rPr>
                <w:rFonts w:ascii="標楷體" w:eastAsia="標楷體" w:hAnsi="標楷體"/>
                <w:color w:val="000000"/>
                <w:spacing w:val="-4"/>
                <w:szCs w:val="24"/>
              </w:rPr>
              <w:t>逾期恕不受理。</w:t>
            </w:r>
          </w:p>
          <w:p w:rsidR="003866D4" w:rsidRPr="009242EC" w:rsidRDefault="003866D4" w:rsidP="0064762D">
            <w:pPr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2.應考服務項目之提供以不影響整體考試公平性為原則，並由本校</w:t>
            </w:r>
            <w:r w:rsidR="00E14E91" w:rsidRPr="009242EC">
              <w:rPr>
                <w:rFonts w:ascii="標楷體" w:eastAsia="標楷體" w:hAnsi="標楷體" w:hint="eastAsia"/>
                <w:color w:val="000000"/>
              </w:rPr>
              <w:t>系</w:t>
            </w:r>
            <w:r w:rsidR="00BC2C97" w:rsidRPr="009242EC">
              <w:rPr>
                <w:rFonts w:ascii="標楷體" w:eastAsia="標楷體" w:hAnsi="標楷體" w:hint="eastAsia"/>
                <w:color w:val="000000"/>
              </w:rPr>
              <w:t>、</w:t>
            </w:r>
            <w:r w:rsidR="00E14E91" w:rsidRPr="009242EC">
              <w:rPr>
                <w:rFonts w:ascii="標楷體" w:eastAsia="標楷體" w:hAnsi="標楷體" w:hint="eastAsia"/>
                <w:color w:val="000000"/>
              </w:rPr>
              <w:t>學群</w:t>
            </w:r>
            <w:r w:rsidR="00B62F03">
              <w:rPr>
                <w:rFonts w:ascii="標楷體" w:eastAsia="標楷體" w:hAnsi="標楷體" w:hint="eastAsia"/>
                <w:color w:val="000000"/>
              </w:rPr>
              <w:t>(</w:t>
            </w:r>
            <w:r w:rsidR="00BC2C97" w:rsidRPr="009242EC">
              <w:rPr>
                <w:rFonts w:ascii="標楷體" w:eastAsia="標楷體" w:hAnsi="標楷體" w:hint="eastAsia"/>
                <w:color w:val="000000"/>
              </w:rPr>
              <w:t>程</w:t>
            </w:r>
            <w:r w:rsidR="00B62F03">
              <w:rPr>
                <w:rFonts w:ascii="標楷體" w:eastAsia="標楷體" w:hAnsi="標楷體" w:hint="eastAsia"/>
                <w:color w:val="000000"/>
              </w:rPr>
              <w:t>)</w:t>
            </w:r>
            <w:r w:rsidRPr="009242EC">
              <w:rPr>
                <w:rFonts w:ascii="標楷體" w:eastAsia="標楷體" w:hAnsi="標楷體"/>
                <w:color w:val="000000"/>
              </w:rPr>
              <w:t>就考生所提申請資料審定之。</w:t>
            </w:r>
            <w:r w:rsidR="00010FBE" w:rsidRPr="00B62F03">
              <w:rPr>
                <w:rFonts w:ascii="標楷體" w:eastAsia="標楷體" w:hAnsi="標楷體" w:hint="eastAsia"/>
                <w:color w:val="000000"/>
                <w:szCs w:val="24"/>
              </w:rPr>
              <w:t>系、學群(程)</w:t>
            </w:r>
            <w:r w:rsidR="00010FBE">
              <w:rPr>
                <w:rFonts w:ascii="標楷體" w:eastAsia="標楷體" w:hAnsi="標楷體" w:hint="eastAsia"/>
                <w:color w:val="000000"/>
              </w:rPr>
              <w:t>得依該生之</w:t>
            </w:r>
            <w:r w:rsidR="00F07537">
              <w:rPr>
                <w:rFonts w:ascii="新細明體" w:eastAsia="新細明體" w:hAnsi="新細明體" w:hint="eastAsia"/>
                <w:color w:val="000000"/>
              </w:rPr>
              <w:t>「</w:t>
            </w:r>
            <w:r w:rsidR="00010FBE" w:rsidRPr="00CE0A76">
              <w:rPr>
                <w:rFonts w:ascii="標楷體" w:eastAsia="標楷體" w:hAnsi="標楷體" w:hint="eastAsia"/>
                <w:color w:val="000000"/>
              </w:rPr>
              <w:t>個別化支持計畫</w:t>
            </w:r>
            <w:r w:rsidR="00F07537">
              <w:rPr>
                <w:rFonts w:ascii="標楷體" w:eastAsia="標楷體" w:hAnsi="標楷體" w:hint="eastAsia"/>
                <w:color w:val="000000"/>
              </w:rPr>
              <w:t>」</w:t>
            </w:r>
            <w:r w:rsidR="00010FBE">
              <w:rPr>
                <w:rFonts w:ascii="標楷體" w:eastAsia="標楷體" w:hAnsi="標楷體" w:hint="eastAsia"/>
                <w:color w:val="000000"/>
              </w:rPr>
              <w:t>，並</w:t>
            </w:r>
            <w:r w:rsidR="00EB3BFA">
              <w:rPr>
                <w:rFonts w:ascii="標楷體" w:eastAsia="標楷體" w:hAnsi="標楷體" w:hint="eastAsia"/>
                <w:color w:val="000000"/>
              </w:rPr>
              <w:t>參考</w:t>
            </w:r>
            <w:r w:rsidR="00F07537">
              <w:rPr>
                <w:rFonts w:ascii="新細明體" w:eastAsia="新細明體" w:hAnsi="新細明體" w:hint="eastAsia"/>
                <w:color w:val="000000"/>
              </w:rPr>
              <w:t>「</w:t>
            </w:r>
            <w:r w:rsidR="00010FBE" w:rsidRPr="00CE0A76">
              <w:rPr>
                <w:rFonts w:ascii="標楷體" w:eastAsia="標楷體" w:hAnsi="標楷體" w:hint="eastAsia"/>
                <w:color w:val="000000"/>
              </w:rPr>
              <w:t>身心障礙學生考試服務辦法</w:t>
            </w:r>
            <w:r w:rsidR="00F07537">
              <w:rPr>
                <w:rFonts w:ascii="標楷體" w:eastAsia="標楷體" w:hAnsi="標楷體" w:hint="eastAsia"/>
                <w:color w:val="000000"/>
              </w:rPr>
              <w:t>」</w:t>
            </w:r>
            <w:r w:rsidR="00D07667">
              <w:rPr>
                <w:rFonts w:ascii="標楷體" w:eastAsia="標楷體" w:hAnsi="標楷體" w:hint="eastAsia"/>
                <w:color w:val="000000"/>
              </w:rPr>
              <w:t>(如下頁)</w:t>
            </w:r>
            <w:r w:rsidR="00010FBE">
              <w:rPr>
                <w:rFonts w:ascii="標楷體" w:eastAsia="標楷體" w:hAnsi="標楷體" w:hint="eastAsia"/>
                <w:color w:val="000000"/>
              </w:rPr>
              <w:t>之原則予以審定。</w:t>
            </w:r>
          </w:p>
          <w:p w:rsidR="003866D4" w:rsidRPr="009242EC" w:rsidRDefault="003866D4" w:rsidP="0064762D">
            <w:pPr>
              <w:spacing w:afterLines="20" w:after="72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3.</w:t>
            </w:r>
            <w:r w:rsidR="00010FBE" w:rsidRPr="009242EC">
              <w:rPr>
                <w:rFonts w:ascii="標楷體" w:eastAsia="標楷體" w:hAnsi="標楷體"/>
                <w:color w:val="000000"/>
              </w:rPr>
              <w:t>凡未依規定申請應考服務之身心障礙考生，</w:t>
            </w:r>
            <w:r w:rsidR="00151938">
              <w:rPr>
                <w:rFonts w:ascii="標楷體" w:eastAsia="標楷體" w:hAnsi="標楷體" w:hint="eastAsia"/>
                <w:color w:val="000000"/>
              </w:rPr>
              <w:t>應</w:t>
            </w:r>
            <w:r w:rsidR="00010FBE" w:rsidRPr="009242EC">
              <w:rPr>
                <w:rFonts w:ascii="標楷體" w:eastAsia="標楷體" w:hAnsi="標楷體"/>
                <w:color w:val="000000"/>
              </w:rPr>
              <w:t>依一般考生之規定應考。</w:t>
            </w:r>
          </w:p>
        </w:tc>
      </w:tr>
      <w:tr w:rsidR="003866D4" w:rsidRPr="00F6472C" w:rsidTr="00431919">
        <w:trPr>
          <w:trHeight w:val="69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66D4" w:rsidRPr="009242EC" w:rsidRDefault="003866D4" w:rsidP="005F7B6F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9242EC">
              <w:rPr>
                <w:rFonts w:ascii="標楷體" w:eastAsia="標楷體" w:hAnsi="標楷體"/>
                <w:color w:val="000000"/>
                <w:szCs w:val="24"/>
              </w:rPr>
              <w:t>考生簽章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4" w:rsidRPr="009242EC" w:rsidRDefault="003866D4" w:rsidP="005F7B6F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  <w:spacing w:val="1"/>
                <w:w w:val="99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66D4" w:rsidRPr="009242EC" w:rsidRDefault="003866D4" w:rsidP="005F7B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42EC">
              <w:rPr>
                <w:rFonts w:ascii="標楷體" w:eastAsia="標楷體" w:hAnsi="標楷體"/>
                <w:color w:val="000000"/>
                <w:szCs w:val="24"/>
              </w:rPr>
              <w:t>申 請 日 期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D4" w:rsidRPr="009242EC" w:rsidRDefault="00335B03" w:rsidP="00335B03">
            <w:pPr>
              <w:autoSpaceDE w:val="0"/>
              <w:autoSpaceDN w:val="0"/>
              <w:ind w:left="17" w:hangingChars="7" w:hanging="17"/>
              <w:jc w:val="center"/>
              <w:rPr>
                <w:rFonts w:ascii="標楷體" w:eastAsia="標楷體" w:hAnsi="標楷體"/>
                <w:color w:val="000000"/>
                <w:spacing w:val="1"/>
                <w:w w:val="99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民國    年    月    日</w:t>
            </w:r>
          </w:p>
        </w:tc>
      </w:tr>
      <w:tr w:rsidR="009F3202" w:rsidRPr="009242EC" w:rsidTr="00431919">
        <w:trPr>
          <w:trHeight w:val="262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F3202" w:rsidRPr="009D2732" w:rsidRDefault="009F3202" w:rsidP="00B62F03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課程教師</w:t>
            </w:r>
            <w:r w:rsidRPr="009D2732">
              <w:rPr>
                <w:rFonts w:ascii="標楷體" w:eastAsia="標楷體" w:hAnsi="標楷體" w:hint="eastAsia"/>
                <w:color w:val="000000"/>
                <w:sz w:val="22"/>
              </w:rPr>
              <w:t>審定結果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並簽章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02" w:rsidRDefault="009F3202" w:rsidP="00D558FF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pacing w:val="1"/>
                <w:w w:val="99"/>
                <w:szCs w:val="24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同意</w:t>
            </w:r>
          </w:p>
          <w:p w:rsidR="009F3202" w:rsidRPr="009242EC" w:rsidRDefault="009F3202" w:rsidP="00431919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pacing w:val="1"/>
                <w:w w:val="99"/>
                <w:szCs w:val="24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應予以調整，說明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  <w:bookmarkStart w:id="0" w:name="_GoBack"/>
            <w:bookmarkEnd w:id="0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F3202" w:rsidRPr="009D2732" w:rsidRDefault="009F3202" w:rsidP="0001631D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D2732">
              <w:rPr>
                <w:rFonts w:ascii="標楷體" w:eastAsia="標楷體" w:hAnsi="標楷體" w:hint="eastAsia"/>
                <w:color w:val="000000"/>
                <w:sz w:val="22"/>
              </w:rPr>
              <w:t>系、學群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9D2732">
              <w:rPr>
                <w:rFonts w:ascii="標楷體" w:eastAsia="標楷體" w:hAnsi="標楷體" w:hint="eastAsia"/>
                <w:color w:val="000000"/>
                <w:sz w:val="22"/>
              </w:rPr>
              <w:t>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  <w:r w:rsidRPr="009D2732">
              <w:rPr>
                <w:rFonts w:ascii="標楷體" w:eastAsia="標楷體" w:hAnsi="標楷體" w:hint="eastAsia"/>
                <w:color w:val="000000"/>
                <w:sz w:val="22"/>
              </w:rPr>
              <w:t>審定結果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並核章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02" w:rsidRDefault="009F3202" w:rsidP="00D558FF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pacing w:val="1"/>
                <w:w w:val="99"/>
                <w:szCs w:val="24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同意</w:t>
            </w:r>
          </w:p>
          <w:p w:rsidR="009F3202" w:rsidRPr="009242EC" w:rsidRDefault="009F3202" w:rsidP="00431919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000000"/>
                <w:spacing w:val="1"/>
                <w:w w:val="99"/>
                <w:szCs w:val="24"/>
              </w:rPr>
            </w:pPr>
            <w:r w:rsidRPr="009242EC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應予以調整，說明</w:t>
            </w:r>
            <w:r>
              <w:rPr>
                <w:rFonts w:ascii="新細明體" w:eastAsia="新細明體" w:hAnsi="新細明體" w:hint="eastAsia"/>
                <w:color w:val="000000"/>
              </w:rPr>
              <w:t>：</w:t>
            </w:r>
          </w:p>
        </w:tc>
      </w:tr>
    </w:tbl>
    <w:p w:rsidR="003866D4" w:rsidRPr="003866D4" w:rsidRDefault="003866D4" w:rsidP="00051D88">
      <w:pPr>
        <w:widowControl/>
        <w:snapToGrid w:val="0"/>
        <w:rPr>
          <w:rFonts w:ascii="標楷體" w:eastAsia="標楷體" w:hAnsi="標楷體"/>
          <w:sz w:val="26"/>
          <w:szCs w:val="26"/>
        </w:rPr>
      </w:pPr>
      <w:r>
        <w:br w:type="page"/>
      </w:r>
      <w:r w:rsidRPr="003866D4">
        <w:rPr>
          <w:rFonts w:ascii="標楷體" w:eastAsia="標楷體" w:hAnsi="標楷體" w:hint="eastAsia"/>
          <w:sz w:val="26"/>
          <w:szCs w:val="26"/>
        </w:rPr>
        <w:lastRenderedPageBreak/>
        <w:t xml:space="preserve">名　　稱 身心障礙學生考試服務辦法 </w:t>
      </w: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發布日期 民國 101 年 07 月 24 日 </w:t>
      </w: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法規類別 行政 ＞ 教育部 ＞ 學生事務及特殊教育目</w:t>
      </w: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第 1 條   本辦法依特殊教育法第二十二條第二項規定訂定之。 </w:t>
      </w:r>
    </w:p>
    <w:p w:rsidR="003866D4" w:rsidRPr="003866D4" w:rsidRDefault="003866D4" w:rsidP="00051D88">
      <w:pPr>
        <w:snapToGrid w:val="0"/>
        <w:ind w:left="1274" w:hangingChars="490" w:hanging="1274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第 2 條   各級學校及試務單位公開辦理各教育階段入學相關之各種考試，應依本辦 法之規定提供身心障礙學生考試服務（以下簡稱考試服務）。 </w:t>
      </w: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第 3 條   本辦法所稱身心障礙學生，指符合下列規定之一者：一、經各級主管機關特殊教育學生鑑定及就學輔導會鑑定為身心障礙。二、領有身心障礙手冊或證明。 </w:t>
      </w:r>
    </w:p>
    <w:p w:rsidR="00036A88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第 4 條   考試服務之提供，應以達成該項考試目的為原則。各級學校及試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單位應依身心障礙考生（以下簡稱考生）障礙類別、程度及需求，提供考試服務。</w:t>
      </w:r>
    </w:p>
    <w:p w:rsidR="003866D4" w:rsidRPr="003866D4" w:rsidRDefault="003866D4" w:rsidP="00051D88">
      <w:pPr>
        <w:snapToGrid w:val="0"/>
        <w:ind w:leftChars="511" w:left="1226" w:firstLineChars="18" w:firstLine="4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前項考試服務，應由考生向各級學校及試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單位提出申請，經審查後通知考生審查結果，考生對審查結果不服得提出申訴。 各級學校及試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 xml:space="preserve">單位，應邀集身心障礙相關領域之學者專家、特殊教育相 關專業人員及其他相關人員審查前項申請案。前三項考試服務內容、申請程序及應檢附之相關資料、審查方式及原則、 審查結果通知及申訴程序等事項，應於簡章中載明。 </w:t>
      </w: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第 5 條   考試服務應衡酌考生之考試科目特性、學習優勢管道及個別需求，提供適當之試場服務、輔具服務、試題（卷）調整服務、作答方式調整服務及其他必要之服務。 </w:t>
      </w: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第 6 條   前條所定試場服務如下：一、調整考試時間：包括提早入場或延長作答時間。二、提供無障礙試場環境：包括無障礙環境、地面樓層或設有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昇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 xml:space="preserve">降設備之試場。三、提供提醒服務：包括視覺或聽覺提醒、手語翻譯或板書注意事項說明。四、提供特殊試場：包括單人、少數人或設有空調設備等試場。專為身心障礙學生辦理之考試，於安排試場考生人數時，應考量考生所需 之適當空間，一般試場考生人數不得超過三十人。考生對試場空間有特殊 需求者，應另依第四條規定提出申請。 </w:t>
      </w:r>
    </w:p>
    <w:p w:rsidR="00CF0D43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第 7 條   第五條所定輔具服務，包括提供擴視機、放大鏡、點字機、盲用算盤、盲 用電腦及印表機、檯燈、特殊桌椅或其他相關輔具等服務。</w:t>
      </w:r>
    </w:p>
    <w:p w:rsidR="003866D4" w:rsidRPr="003866D4" w:rsidRDefault="003866D4" w:rsidP="00051D88">
      <w:pPr>
        <w:snapToGrid w:val="0"/>
        <w:ind w:leftChars="511" w:left="1226" w:firstLineChars="18" w:firstLine="4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前項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輔具經各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級學校及試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單位公布得由考生自備者，考生得申請使用自備輔具；自備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輔具需託管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者，應送各級學校及試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單位檢查及託管；自備輔具功能簡單無需託管者，於考試開始前經試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 xml:space="preserve">人員檢查後，始得使用。 </w:t>
      </w:r>
    </w:p>
    <w:p w:rsidR="00CF0D43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第 8 條   第五條所定試題（卷）調整服務，包括調整試題與考生之適配性、題數或 比例計分、提供放大試卷、點字試卷、電子試題、有聲試題、觸摸圖形試 題、提供試卷並報讀等服務。</w:t>
      </w:r>
    </w:p>
    <w:p w:rsidR="003866D4" w:rsidRPr="003866D4" w:rsidRDefault="003866D4" w:rsidP="00051D88">
      <w:pPr>
        <w:snapToGrid w:val="0"/>
        <w:ind w:leftChars="511" w:left="1226" w:firstLineChars="18" w:firstLine="4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前項調整試題與考生之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適配性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，包括試題之信度、</w:t>
      </w:r>
      <w:proofErr w:type="gramStart"/>
      <w:r w:rsidRPr="003866D4">
        <w:rPr>
          <w:rFonts w:ascii="標楷體" w:eastAsia="標楷體" w:hAnsi="標楷體" w:hint="eastAsia"/>
          <w:sz w:val="26"/>
          <w:szCs w:val="26"/>
        </w:rPr>
        <w:t>效度</w:t>
      </w:r>
      <w:proofErr w:type="gramEnd"/>
      <w:r w:rsidRPr="003866D4">
        <w:rPr>
          <w:rFonts w:ascii="標楷體" w:eastAsia="標楷體" w:hAnsi="標楷體" w:hint="eastAsia"/>
          <w:sz w:val="26"/>
          <w:szCs w:val="26"/>
        </w:rPr>
        <w:t>、鑑別度，及命題後因應試題與身心障礙類別明顯衝突時所需之調整。</w:t>
      </w:r>
    </w:p>
    <w:p w:rsidR="003866D4" w:rsidRPr="003866D4" w:rsidRDefault="003866D4" w:rsidP="00051D88">
      <w:pPr>
        <w:snapToGrid w:val="0"/>
        <w:ind w:left="1227" w:hangingChars="472" w:hanging="1227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第 9 條   第五條所定作答方式調整服務，包括提供電腦輸入法作答、盲用電腦作答 、放大答案卡（卷）、電腦打字代謄、口語（錄音）作答及代謄答案卡等服務。 </w:t>
      </w:r>
    </w:p>
    <w:p w:rsidR="003866D4" w:rsidRPr="003866D4" w:rsidRDefault="003866D4" w:rsidP="00051D88">
      <w:pPr>
        <w:snapToGrid w:val="0"/>
        <w:ind w:left="1381" w:hangingChars="531" w:hanging="1381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第 10 條   身心障礙學生參加校內學習評量，學校提供本辦法之各項服務，應載明於個別化教育計畫或個別化支持計畫。 </w:t>
      </w:r>
    </w:p>
    <w:p w:rsidR="003866D4" w:rsidRPr="003866D4" w:rsidRDefault="003866D4" w:rsidP="00051D88">
      <w:pPr>
        <w:snapToGrid w:val="0"/>
        <w:ind w:left="1381" w:hangingChars="531" w:hanging="1381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 xml:space="preserve">第 11 條   本辦法發布施行前，各項考試服務已納入簡章並公告者，依簡章規定辦理 。 </w:t>
      </w:r>
    </w:p>
    <w:p w:rsidR="003866D4" w:rsidRPr="003866D4" w:rsidRDefault="003866D4" w:rsidP="00051D88">
      <w:pPr>
        <w:snapToGrid w:val="0"/>
        <w:ind w:left="1381" w:hangingChars="531" w:hanging="1381"/>
        <w:rPr>
          <w:rFonts w:ascii="標楷體" w:eastAsia="標楷體" w:hAnsi="標楷體"/>
          <w:sz w:val="26"/>
          <w:szCs w:val="26"/>
        </w:rPr>
      </w:pPr>
      <w:r w:rsidRPr="003866D4">
        <w:rPr>
          <w:rFonts w:ascii="標楷體" w:eastAsia="標楷體" w:hAnsi="標楷體" w:hint="eastAsia"/>
          <w:sz w:val="26"/>
          <w:szCs w:val="26"/>
        </w:rPr>
        <w:t>第 12 條   本辦法自發布日施行。</w:t>
      </w:r>
    </w:p>
    <w:sectPr w:rsidR="003866D4" w:rsidRPr="003866D4" w:rsidSect="00051D88"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54" w:rsidRDefault="00631A54" w:rsidP="006C1F01">
      <w:r>
        <w:separator/>
      </w:r>
    </w:p>
  </w:endnote>
  <w:endnote w:type="continuationSeparator" w:id="0">
    <w:p w:rsidR="00631A54" w:rsidRDefault="00631A54" w:rsidP="006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54" w:rsidRDefault="00631A54" w:rsidP="006C1F01">
      <w:r>
        <w:separator/>
      </w:r>
    </w:p>
  </w:footnote>
  <w:footnote w:type="continuationSeparator" w:id="0">
    <w:p w:rsidR="00631A54" w:rsidRDefault="00631A54" w:rsidP="006C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27E6"/>
    <w:multiLevelType w:val="hybridMultilevel"/>
    <w:tmpl w:val="9CC81446"/>
    <w:lvl w:ilvl="0" w:tplc="EB2EE736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D4"/>
    <w:rsid w:val="00010FBE"/>
    <w:rsid w:val="00036A88"/>
    <w:rsid w:val="00051D88"/>
    <w:rsid w:val="000D1B83"/>
    <w:rsid w:val="00151938"/>
    <w:rsid w:val="00171218"/>
    <w:rsid w:val="0017435C"/>
    <w:rsid w:val="00185EA2"/>
    <w:rsid w:val="001B4E6C"/>
    <w:rsid w:val="001E3E7F"/>
    <w:rsid w:val="00222895"/>
    <w:rsid w:val="002B1889"/>
    <w:rsid w:val="002C780C"/>
    <w:rsid w:val="00335B03"/>
    <w:rsid w:val="00353845"/>
    <w:rsid w:val="003866D4"/>
    <w:rsid w:val="003A2AA3"/>
    <w:rsid w:val="00431919"/>
    <w:rsid w:val="00470EA6"/>
    <w:rsid w:val="00476B28"/>
    <w:rsid w:val="004F193C"/>
    <w:rsid w:val="00527441"/>
    <w:rsid w:val="00631A54"/>
    <w:rsid w:val="0064762D"/>
    <w:rsid w:val="006C1F01"/>
    <w:rsid w:val="006C21E2"/>
    <w:rsid w:val="007777C6"/>
    <w:rsid w:val="008809D5"/>
    <w:rsid w:val="008A0F57"/>
    <w:rsid w:val="008C390B"/>
    <w:rsid w:val="008D1F65"/>
    <w:rsid w:val="00901633"/>
    <w:rsid w:val="009242EC"/>
    <w:rsid w:val="009D2732"/>
    <w:rsid w:val="009E069A"/>
    <w:rsid w:val="009F3202"/>
    <w:rsid w:val="00A004B9"/>
    <w:rsid w:val="00A02359"/>
    <w:rsid w:val="00A1140B"/>
    <w:rsid w:val="00AB156E"/>
    <w:rsid w:val="00AC0DF9"/>
    <w:rsid w:val="00AE0067"/>
    <w:rsid w:val="00AE6775"/>
    <w:rsid w:val="00B62F03"/>
    <w:rsid w:val="00BC2C97"/>
    <w:rsid w:val="00BF4ACA"/>
    <w:rsid w:val="00C613E0"/>
    <w:rsid w:val="00CE0A76"/>
    <w:rsid w:val="00CF0D43"/>
    <w:rsid w:val="00D07667"/>
    <w:rsid w:val="00D558FF"/>
    <w:rsid w:val="00D86285"/>
    <w:rsid w:val="00D86CAD"/>
    <w:rsid w:val="00DC4488"/>
    <w:rsid w:val="00E14E91"/>
    <w:rsid w:val="00E26CEF"/>
    <w:rsid w:val="00EB3BFA"/>
    <w:rsid w:val="00F07537"/>
    <w:rsid w:val="00F11AF1"/>
    <w:rsid w:val="00F57C91"/>
    <w:rsid w:val="00FA0519"/>
    <w:rsid w:val="00FF242C"/>
    <w:rsid w:val="00FF2CE4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9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F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F01"/>
    <w:rPr>
      <w:sz w:val="20"/>
      <w:szCs w:val="20"/>
    </w:rPr>
  </w:style>
  <w:style w:type="paragraph" w:styleId="a8">
    <w:name w:val="List Paragraph"/>
    <w:basedOn w:val="a"/>
    <w:uiPriority w:val="34"/>
    <w:qFormat/>
    <w:rsid w:val="006C1F01"/>
    <w:pPr>
      <w:spacing w:line="400" w:lineRule="atLeast"/>
      <w:ind w:left="480" w:hanging="200"/>
    </w:pPr>
    <w:rPr>
      <w:rFonts w:ascii="Times New Roman" w:eastAsia="標楷體" w:hAnsi="Times New Roman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9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F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F01"/>
    <w:rPr>
      <w:sz w:val="20"/>
      <w:szCs w:val="20"/>
    </w:rPr>
  </w:style>
  <w:style w:type="paragraph" w:styleId="a8">
    <w:name w:val="List Paragraph"/>
    <w:basedOn w:val="a"/>
    <w:uiPriority w:val="34"/>
    <w:qFormat/>
    <w:rsid w:val="006C1F01"/>
    <w:pPr>
      <w:spacing w:line="400" w:lineRule="atLeast"/>
      <w:ind w:left="480" w:hanging="200"/>
    </w:pPr>
    <w:rPr>
      <w:rFonts w:ascii="Times New Roman" w:eastAsia="標楷體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7A95-3EF0-41E5-9756-1C4537E1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2018-11-05T01:49:00Z</cp:lastPrinted>
  <dcterms:created xsi:type="dcterms:W3CDTF">2018-11-07T02:05:00Z</dcterms:created>
  <dcterms:modified xsi:type="dcterms:W3CDTF">2018-11-07T02:14:00Z</dcterms:modified>
</cp:coreProperties>
</file>